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Семибалковский десятимандатный избирательный округ № 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Иванов А.В.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footnote reference"/>
    <w:link w:val="Style_7_ch"/>
    <w:rPr>
      <w:sz w:val="22"/>
      <w:vertAlign w:val="superscript"/>
    </w:rPr>
  </w:style>
  <w:style w:styleId="Style_7_ch" w:type="character">
    <w:name w:val="footnote reference"/>
    <w:link w:val="Style_7"/>
    <w:rPr>
      <w:sz w:val="22"/>
      <w:vertAlign w:val="superscript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Normal"/>
    <w:link w:val="Style_9_ch"/>
    <w:pPr>
      <w:widowControl w:val="0"/>
      <w:ind w:firstLine="720" w:left="0"/>
    </w:pPr>
    <w:rPr>
      <w:rFonts w:ascii="Times New Roman" w:hAnsi="Times New Roman"/>
      <w:sz w:val="28"/>
    </w:rPr>
  </w:style>
  <w:style w:styleId="Style_9_ch" w:type="character">
    <w:name w:val="ConsNormal"/>
    <w:link w:val="Style_9"/>
    <w:rPr>
      <w:rFonts w:ascii="Times New Roman" w:hAnsi="Times New Roman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Balloon Text"/>
    <w:basedOn w:val="Style_2"/>
    <w:link w:val="Style_20_ch"/>
    <w:pPr>
      <w:spacing w:after="0" w:line="240" w:lineRule="auto"/>
      <w:ind/>
    </w:pPr>
    <w:rPr>
      <w:rFonts w:ascii="Tahoma" w:hAnsi="Tahoma"/>
      <w:sz w:val="16"/>
    </w:rPr>
  </w:style>
  <w:style w:styleId="Style_20_ch" w:type="character">
    <w:name w:val="Balloon Text"/>
    <w:basedOn w:val="Style_2_ch"/>
    <w:link w:val="Style_20"/>
    <w:rPr>
      <w:rFonts w:ascii="Tahoma" w:hAnsi="Tahoma"/>
      <w:sz w:val="16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2026-08-20T06:29:52Z</dcterms:modified>
</cp:coreProperties>
</file>